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24" w:rsidRPr="001B7424" w:rsidRDefault="001B7424" w:rsidP="001B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Федеральный государственный образовательный стандарт</w:t>
      </w: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br/>
        <w:t>дошкольного образования</w:t>
      </w: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br/>
        <w:t>(утв. </w:t>
      </w:r>
      <w:hyperlink r:id="rId6" w:history="1">
        <w:r w:rsidRPr="001B7424">
          <w:rPr>
            <w:rFonts w:ascii="Times New Roman" w:eastAsia="Times New Roman" w:hAnsi="Times New Roman" w:cs="Times New Roman"/>
            <w:b/>
            <w:bCs/>
            <w:color w:val="3272C0"/>
            <w:sz w:val="34"/>
            <w:u w:val="single"/>
            <w:lang w:eastAsia="ru-RU"/>
          </w:rPr>
          <w:t>приказом</w:t>
        </w:r>
      </w:hyperlink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 Министерства образования и науки РФ от 17 октября 2013 г. N 1155)</w:t>
      </w:r>
    </w:p>
    <w:p w:rsidR="001B7424" w:rsidRPr="001B7424" w:rsidRDefault="001B7424" w:rsidP="001B7424">
      <w:pPr>
        <w:pBdr>
          <w:bottom w:val="dotted" w:sz="6" w:space="0" w:color="3272C0"/>
        </w:pBdr>
        <w:shd w:val="clear" w:color="auto" w:fill="FFFFFF"/>
        <w:spacing w:after="343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3272C0"/>
          <w:sz w:val="27"/>
          <w:szCs w:val="27"/>
          <w:lang w:eastAsia="ru-RU"/>
        </w:rPr>
        <w:t>С изменениями и дополнениями от:</w:t>
      </w:r>
    </w:p>
    <w:p w:rsidR="001B7424" w:rsidRPr="001B742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21 января 2019 г., 8 ноября 2022 г.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См. </w:t>
      </w:r>
      <w:hyperlink r:id="rId7" w:anchor="block_10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Федеральную адаптированную образовательную программу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дошкольного образования для обучающихся с ограниченными возможностями здоровья, утвержденную </w:t>
      </w:r>
      <w:hyperlink r:id="rId8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приказом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24 ноября 2022 г. N 1022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См. </w:t>
      </w:r>
      <w:hyperlink r:id="rId9" w:anchor="block_10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Федеральную образовательную программу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дошкольного образования, утвержденную </w:t>
      </w:r>
      <w:hyperlink r:id="rId1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приказом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25 ноября 2022 г. N 1028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См. </w:t>
      </w:r>
      <w:hyperlink r:id="rId11" w:anchor="block_10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Комментарии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к настоящему государственному образовательному стандарту дошкольного образования, направленные </w:t>
      </w:r>
      <w:hyperlink r:id="rId1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письмом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Минобрнауки России от 28 февраля 2014 г. N 08-249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См. </w:t>
      </w:r>
      <w:hyperlink r:id="rId13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справку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о федеральных государственных образовательных стандартах</w:t>
      </w:r>
    </w:p>
    <w:p w:rsidR="001B7424" w:rsidRPr="001B7424" w:rsidRDefault="001B7424" w:rsidP="001B7424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I. Общие положения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Стандарт разработан на основе </w:t>
      </w:r>
      <w:hyperlink r:id="rId14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Конституции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Российской Федерации</w:t>
      </w:r>
      <w:hyperlink r:id="rId15" w:anchor="block_991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*(1)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законодательства Российской Федерации и с учётом </w:t>
      </w:r>
      <w:hyperlink r:id="rId16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Конвенции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ООН о правах ребенка</w:t>
      </w:r>
      <w:hyperlink r:id="rId17" w:anchor="block_992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*(2)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основе которых заложены следующие основные принципы: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уважение личности ребенка;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В Стандарте учитываются: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возможности освоения ребенком Программы на разных этапах ее реализации.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Основные принципы дошкольного образования: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поддержка инициативы детей в различных видах деятельности;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5) сотрудничество Организации с семьей;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9) учет этнокультурной ситуации развития детей.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1.5. Стандарт направлен на достижение следующих целей: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повышение социального статуса дошкольного образования;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1.6. Стандарт направлен на решение следующих задач: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7424" w:rsidRPr="009A3DB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3 изменен с 17 февраля 2023 г. - </w:t>
      </w:r>
      <w:hyperlink r:id="rId18" w:anchor="block_1021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Приказ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9A3DB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9" w:anchor="/document/0/block/1603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1.7 изменен с 17 февраля 2023 г. - </w:t>
      </w:r>
      <w:hyperlink r:id="rId20" w:anchor="block_102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1" w:anchor="/document/0/block/17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1.7. Стандарт является основой для: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9A3DB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 </w:t>
      </w:r>
      <w:hyperlink r:id="rId22" w:anchor="block_30" w:history="1">
        <w:r w:rsidRPr="009A3DB4">
          <w:rPr>
            <w:rFonts w:ascii="Times New Roman" w:eastAsia="Times New Roman" w:hAnsi="Times New Roman" w:cs="Times New Roman"/>
            <w:sz w:val="21"/>
            <w:u w:val="single"/>
            <w:vertAlign w:val="superscript"/>
            <w:lang w:eastAsia="ru-RU"/>
          </w:rPr>
          <w:t>3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разработки Программы;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1.8. Стандарт включает в себя требования к: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структуре Программы и ее объему;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условиям реализации Программы;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результатам освоения Программы.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1.9 изменен с 25 февраля 2019 г. - </w:t>
      </w:r>
      <w:hyperlink r:id="rId23" w:anchor="block_10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21 января 2019 г. N 31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4" w:anchor="/document/0/block/19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D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424" w:rsidRPr="009A3DB4" w:rsidRDefault="001B7424" w:rsidP="009A3DB4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5" w:anchor="block_16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пункте 1.6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Стандарта.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Программа направлена на: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2.5 изменен с 17 февраля 2023 г. - </w:t>
      </w:r>
      <w:hyperlink r:id="rId26" w:anchor="block_1024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7" w:anchor="/document/0/block/25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r:id="rId28" w:anchor="block_993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*(4)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может реализовываться в течение всего времени пребывания</w:t>
      </w:r>
      <w:hyperlink r:id="rId29" w:anchor="block_994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*(5)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 в Организации.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2.6 изменен с 17 февраля 2023 г. - </w:t>
      </w:r>
      <w:hyperlink r:id="rId30" w:anchor="block_1027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1" w:anchor="/document/0/block/26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социально-коммуникативное развитие;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познавательное развитие;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речевое развитие;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художественно-эстетическое развитие;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развитие.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"Социально-коммуникативное развитие" направлена на: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позитивных установок к различным видам труда и творчества;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"Познавательное развитие" направлена на: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любознательности, интереса и мотивации к познавательной деятельности;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"Речевое развитие" включает: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владение речью как средством коммуникации, познания и самовыражения;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правильного звукопроизношения;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звуковой и интонационной культуры речи;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фонематического слуха; обогащение активного и пассивного словарного запаса;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грамматически правильной и связной речи (диалогической и монологической);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речевого творчества;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предпосылок к обучению грамоте.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"Художественно-эстетическое развитие" предполагает: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"Физическое развитие" предусматривает: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основными движениями (метание, ползание, лазанье, ходьба, бег, прыжки);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нравственно-волевых качеств (воля, смелость, выдержка и другое);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2.7 изменен с 17 февраля 2023 г. - </w:t>
      </w:r>
      <w:hyperlink r:id="rId32" w:anchor="block_1027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3" w:anchor="/document/0/block/27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(отобразительная, сюжетно-отобразительная,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предметно-пространственная развивающая образовательная среда;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характер взаимодействия со взрослыми;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характер взаимодействия с другими детьми;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система отношений ребенка к миру, к другим людям, к себе самому.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34" w:anchor="block_25" w:history="1">
        <w:r w:rsidRPr="009A3DB4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пункт 2.5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Стандарта).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2.10 изменен с 17 февраля 2023 г. - </w:t>
      </w:r>
      <w:hyperlink r:id="rId35" w:anchor="block_1028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6" w:anchor="/document/0/block/21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9A3DB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 </w:t>
      </w:r>
      <w:hyperlink r:id="rId37" w:anchor="block_60" w:history="1">
        <w:r w:rsidRPr="009A3DB4">
          <w:rPr>
            <w:rFonts w:ascii="Times New Roman" w:eastAsia="Times New Roman" w:hAnsi="Times New Roman" w:cs="Times New Roman"/>
            <w:sz w:val="21"/>
            <w:u w:val="single"/>
            <w:vertAlign w:val="superscript"/>
            <w:lang w:eastAsia="ru-RU"/>
          </w:rPr>
          <w:t>6</w:t>
        </w:r>
      </w:hyperlink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 должна раскрывать: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и задачи реализации Программы;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принципы и подходы к формированию Программы;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2.11.2 изменен с 17 февраля 2023 г. - </w:t>
      </w:r>
      <w:hyperlink r:id="rId38" w:anchor="block_1311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9" w:anchor="/document/0/block/211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Содержательный раздел Программы должен включать: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содержательном разделе Программы должны быть представлены: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особенности образовательной деятельности разных видов и культурных практик;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способы и направления поддержки детской инициативы;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особенности взаимодействия педагогического коллектива с семьями воспитанников;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сложившиеся традиции Организации или Группы.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Коррекционная работа и/или инклюзивное образование должны быть направлены на: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1B7424" w:rsidRPr="009A3DB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2.12 изменен с 17 февраля 2023 г. - </w:t>
      </w:r>
      <w:hyperlink r:id="rId40" w:anchor="block_131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41" w:anchor="/document/0/block/21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краткой презентации Программы должны быть указаны:</w:t>
      </w:r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Подпункт 2 изменен с 17 февраля 2023 г. - </w:t>
      </w:r>
      <w:hyperlink r:id="rId42" w:anchor="block_1313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43" w:anchor="/document/0/block/216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9A3DB4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2) ссылка на федеральную программу;</w:t>
      </w:r>
    </w:p>
    <w:p w:rsidR="001B7424" w:rsidRDefault="001B7424" w:rsidP="001A7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DB4">
        <w:rPr>
          <w:rFonts w:ascii="Times New Roman" w:eastAsia="Times New Roman" w:hAnsi="Times New Roman" w:cs="Times New Roman"/>
          <w:sz w:val="27"/>
          <w:szCs w:val="27"/>
          <w:lang w:eastAsia="ru-RU"/>
        </w:rPr>
        <w:t>3) характеристика взаимодействия педагогического коллектива с семьями детей.</w:t>
      </w:r>
    </w:p>
    <w:p w:rsidR="001A755F" w:rsidRPr="001A755F" w:rsidRDefault="001A755F" w:rsidP="001A75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Наименование изменено с 17 февраля 2023 г. - </w:t>
      </w:r>
      <w:hyperlink r:id="rId44" w:anchor="block_1314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45" w:anchor="/document/0/block/3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1B7424" w:rsidRDefault="001B7424" w:rsidP="001B7424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III. Требования к условиям реализации образовательной программы дошкольного образования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9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гарантирует охрану и укрепление физического и психического здоровья детей;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обеспечивает эмоциональное благополучие детей;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способствует профессиональному развитию педагогических работников;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создает условия для развивающего вариативного дошкольного образования;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5) обеспечивает открытость дошкольного образования;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3.2 изменен с 17 февраля 2023 г. - </w:t>
      </w:r>
      <w:hyperlink r:id="rId46" w:anchor="block_1315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47" w:anchor="/document/0/block/32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 Требования к психолого-педагогическим условиям реализации Программы.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7) защита детей от всех форм физического и психического насилия</w:t>
      </w:r>
      <w:hyperlink r:id="rId48" w:anchor="block_995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*(7)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оптимизации работы с группой детей.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обеспечение эмоционального благополучия через: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 общение с каждым ребенком;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уважительное отношение к каждому ребенку, к его чувствам и потребностям;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поддержку индивидуальности и инициативы детей через: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принятия детьми решений, выражения своих чувств и мыслей;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установление правил взаимодействия в разных ситуациях: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умения детей работать в группе сверстников;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овладения культурными средствами деятельности;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индивидуального развития детей;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3.2.6. В целях эффективной реализации Программы должны быть созданы условия для: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3.2.8. Организация должна создавать возможности: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3.2.9 изменен с 17 февраля 2023 г. - </w:t>
      </w:r>
      <w:hyperlink r:id="rId49" w:anchor="block_1316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50" w:anchor="/document/0/block/329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3.2.9. Максимально допустимый объем образовательной нагрузки должен соответствовать санитарным правилам и нормам </w:t>
      </w:r>
      <w:hyperlink r:id="rId51" w:anchor="block_1000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СанПиН 1.2.3685-21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52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постановлением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62296), действующим до 1 марта 2027 г., и санитарным правилам </w:t>
      </w:r>
      <w:hyperlink r:id="rId53" w:anchor="block_1000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СП 2.4.3648-20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54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постановлением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действующим до 1 января 2027 г.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 Требования к развивающей предметно-пространственной среде.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Развивающая предметно-пространственная среда должна обеспечивать: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реализацию различных образовательных программ;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организации инклюзивного образования - необходимые для него условия;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возрастных особенностей детей.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самовыражения детей.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Полифункциональность материалов предполагает: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4) Вариативность среды предполагает: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5) Доступность среды предполагает: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исправность и сохранность материалов и оборудования.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3.4. Требования к кадровым условиям реализации Программы.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55" w:anchor="block_1000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Едином квалификационном справочнике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56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приказом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изменениями, внесенными </w:t>
      </w:r>
      <w:hyperlink r:id="rId57" w:anchor="block_1000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приказом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58" w:anchor="block_325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п. 3.2.5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настоящего Стандарта.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3.4.3. При работе в Группах для детей с ограниченными возможностям</w:t>
      </w:r>
      <w:hyperlink r:id="rId59" w:history="1">
        <w:r w:rsidRPr="007F390F">
          <w:rPr>
            <w:rFonts w:ascii="Times New Roman" w:eastAsia="Times New Roman" w:hAnsi="Times New Roman" w:cs="Times New Roman"/>
            <w:sz w:val="27"/>
            <w:lang w:eastAsia="ru-RU"/>
          </w:rPr>
          <w:t>#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3.4.4. При организации инклюзивного образования: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включении в Группу детей с ограниченными возможностям</w:t>
      </w:r>
      <w:hyperlink r:id="rId60" w:history="1">
        <w:r w:rsidRPr="007F390F">
          <w:rPr>
            <w:rFonts w:ascii="Times New Roman" w:eastAsia="Times New Roman" w:hAnsi="Times New Roman" w:cs="Times New Roman"/>
            <w:sz w:val="27"/>
            <w:lang w:eastAsia="ru-RU"/>
          </w:rPr>
          <w:t>#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1B7424" w:rsidRPr="001B742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61" w:anchor="block_996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*(8)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, могут быть привлечены дополнительные педагогические</w:t>
      </w: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работники, имеющие соответствующую квалификацию.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3.5 изменен с 17 февраля 2023 г. - </w:t>
      </w:r>
      <w:hyperlink r:id="rId62" w:anchor="block_1317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63" w:anchor="/document/0/block/35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3.5. Требования к материально-техническим условиям реализации Программы.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3.5.1. Требования к материально-техническим условиям реализации Программы включают: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требования, определяемые в соответствии с правилами пожарной безопасности;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4) оснащенность помещений развивающей предметно-пространственной средой;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3.6 изменен с 17 февраля 2023 г. - </w:t>
      </w:r>
      <w:hyperlink r:id="rId64" w:anchor="block_1318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65" w:anchor="/document/0/block/36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3.6. Требования к финансовым условиям реализации Программы.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3.6.2. Финансовые условия реализации Программы должны: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на оплату труда работников, реализующих Программу;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иных расходов, связанных с реализацией и обеспечением реализации Программы.</w:t>
      </w:r>
    </w:p>
    <w:p w:rsidR="001B7424" w:rsidRPr="001B742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B74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Наименование изменено с 17 февраля 2023 г. - </w:t>
      </w:r>
      <w:hyperlink r:id="rId66" w:anchor="block_1319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67" w:anchor="/document/0/block/40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7F390F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1B7424" w:rsidRPr="007F390F" w:rsidRDefault="001B7424" w:rsidP="007F3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68" w:anchor="block_997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*(9)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69" w:anchor="block_998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*(10)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Настоящие требования являются ориентирами для: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решения задач: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 Программы;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анализа профессиональной деятельности;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взаимодействия с семьями;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изучения характеристик образования детей в возрасте от 2 месяцев до 8 лет;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аттестацию педагогических кадров;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качества образования;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B7424" w:rsidRPr="007F390F" w:rsidRDefault="001B7424" w:rsidP="007F39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стимулирующего фонда оплаты труда работников Организации.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4.6 изменен с 17 февраля 2023 г. - </w:t>
      </w:r>
      <w:hyperlink r:id="rId70" w:anchor="block_132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71" w:anchor="/document/0/block/46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1B7424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</w:t>
      </w: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:</w:t>
      </w:r>
    </w:p>
    <w:p w:rsidR="001B7424" w:rsidRPr="001B742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B74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B7424" w:rsidRPr="001B7424" w:rsidRDefault="001B7424" w:rsidP="001B7424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r w:rsidRPr="001B7424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Целевые ориентиры образования в младенческом возрасте: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9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произносит несколько простых, облегченных слов;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положительно реагирует на прием пищи и гигиенические процедуры;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9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424" w:rsidRPr="007F390F" w:rsidRDefault="001B7424" w:rsidP="001B7424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F390F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Целевые ориентиры образования в раннем возрасте: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9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стремится к общению со взрослыми, реагирует на их настроение;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понимает и выполняет простые поручения взрослого;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стремится проявлять самостоятельность в бытовом и игровом поведении;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1B7424" w:rsidRPr="007F390F" w:rsidRDefault="001B7424" w:rsidP="00840E73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Целевые ориентиры на этапе завершения дошкольного образования</w:t>
      </w:r>
      <w:r w:rsidRPr="007F390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ребенка выражено стремление заниматься социально значимой деятельностью;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B7424" w:rsidRPr="001B7424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B74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B7424" w:rsidRPr="001B7424" w:rsidRDefault="001B7424" w:rsidP="001B7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B7424"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  <w:t>______________________________</w:t>
      </w:r>
    </w:p>
    <w:p w:rsidR="001B7424" w:rsidRPr="001B7424" w:rsidRDefault="001B7424" w:rsidP="001B742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Сноски изменены с 17 февраля 2023 г. - </w:t>
      </w:r>
      <w:hyperlink r:id="rId72" w:anchor="/multilink/70512244/paragraph/1073742776/number/0:0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Приказ</w:t>
        </w:r>
      </w:hyperlink>
      <w:r w:rsidRPr="001B7424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Минпросвещения России от 8 ноября 2022 г. N 955</w:t>
      </w:r>
    </w:p>
    <w:p w:rsidR="001B7424" w:rsidRPr="001B7424" w:rsidRDefault="001B7424" w:rsidP="001B742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73" w:anchor="/document/0/block/991" w:history="1">
        <w:r w:rsidRPr="001B7424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См. предыдущую редакцию</w:t>
        </w:r>
      </w:hyperlink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*(2) Сборник международных договоров СССР, 1993, выпуск XLVI.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*(3) </w:t>
      </w:r>
      <w:hyperlink r:id="rId74" w:anchor="block_1265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Часть 6</w:t>
        </w:r>
        <w:r w:rsidRPr="007F390F">
          <w:rPr>
            <w:rFonts w:ascii="Times New Roman" w:eastAsia="Times New Roman" w:hAnsi="Times New Roman" w:cs="Times New Roman"/>
            <w:sz w:val="21"/>
            <w:u w:val="single"/>
            <w:vertAlign w:val="superscript"/>
            <w:lang w:eastAsia="ru-RU"/>
          </w:rPr>
          <w:t> 5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*(4) </w:t>
      </w:r>
      <w:hyperlink r:id="rId75" w:anchor="block_108170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Части 6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hyperlink r:id="rId76" w:anchor="block_1261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6</w:t>
        </w:r>
        <w:r w:rsidRPr="007F390F">
          <w:rPr>
            <w:rFonts w:ascii="Times New Roman" w:eastAsia="Times New Roman" w:hAnsi="Times New Roman" w:cs="Times New Roman"/>
            <w:sz w:val="21"/>
            <w:u w:val="single"/>
            <w:vertAlign w:val="superscript"/>
            <w:lang w:eastAsia="ru-RU"/>
          </w:rPr>
          <w:t> 1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7424" w:rsidRPr="007F390F" w:rsidRDefault="001B7424" w:rsidP="001B7424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*(6) </w:t>
      </w:r>
      <w:hyperlink r:id="rId77" w:anchor="block_1261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Часть 6</w:t>
        </w:r>
        <w:r w:rsidRPr="007F390F">
          <w:rPr>
            <w:rFonts w:ascii="Times New Roman" w:eastAsia="Times New Roman" w:hAnsi="Times New Roman" w:cs="Times New Roman"/>
            <w:sz w:val="21"/>
            <w:u w:val="single"/>
            <w:vertAlign w:val="superscript"/>
            <w:lang w:eastAsia="ru-RU"/>
          </w:rPr>
          <w:t> 1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*(7) </w:t>
      </w:r>
      <w:hyperlink r:id="rId78" w:anchor="block_108404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Пункт 9 части 1 статьи 34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*(8) </w:t>
      </w:r>
      <w:hyperlink r:id="rId79" w:anchor="block_1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Статья 1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*(9) С учетом положений </w:t>
      </w:r>
      <w:hyperlink r:id="rId80" w:anchor="block_108146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части 2 статьи 11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B7424" w:rsidRPr="007F390F" w:rsidRDefault="001B7424" w:rsidP="001B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*(10) </w:t>
      </w:r>
      <w:hyperlink r:id="rId81" w:anchor="block_108761" w:history="1">
        <w:r w:rsidRPr="007F390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Часть 2 статьи 64</w:t>
        </w:r>
      </w:hyperlink>
      <w:r w:rsidRPr="007F390F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424B1" w:rsidRPr="007F390F" w:rsidRDefault="000424B1"/>
    <w:sectPr w:rsidR="000424B1" w:rsidRPr="007F390F" w:rsidSect="009A3DB4">
      <w:footerReference w:type="default" r:id="rId8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60" w:rsidRDefault="00A72C60" w:rsidP="009A3DB4">
      <w:pPr>
        <w:spacing w:after="0" w:line="240" w:lineRule="auto"/>
      </w:pPr>
      <w:r>
        <w:separator/>
      </w:r>
    </w:p>
  </w:endnote>
  <w:endnote w:type="continuationSeparator" w:id="0">
    <w:p w:rsidR="00A72C60" w:rsidRDefault="00A72C60" w:rsidP="009A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477"/>
      <w:docPartObj>
        <w:docPartGallery w:val="Page Numbers (Bottom of Page)"/>
        <w:docPartUnique/>
      </w:docPartObj>
    </w:sdtPr>
    <w:sdtContent>
      <w:p w:rsidR="009A3DB4" w:rsidRDefault="009A3DB4">
        <w:pPr>
          <w:pStyle w:val="a6"/>
          <w:jc w:val="center"/>
        </w:pPr>
        <w:fldSimple w:instr=" PAGE   \* MERGEFORMAT ">
          <w:r w:rsidR="00A72C60">
            <w:rPr>
              <w:noProof/>
            </w:rPr>
            <w:t>1</w:t>
          </w:r>
        </w:fldSimple>
      </w:p>
    </w:sdtContent>
  </w:sdt>
  <w:p w:rsidR="009A3DB4" w:rsidRDefault="009A3D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60" w:rsidRDefault="00A72C60" w:rsidP="009A3DB4">
      <w:pPr>
        <w:spacing w:after="0" w:line="240" w:lineRule="auto"/>
      </w:pPr>
      <w:r>
        <w:separator/>
      </w:r>
    </w:p>
  </w:footnote>
  <w:footnote w:type="continuationSeparator" w:id="0">
    <w:p w:rsidR="00A72C60" w:rsidRDefault="00A72C60" w:rsidP="009A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424"/>
    <w:rsid w:val="000424B1"/>
    <w:rsid w:val="00084175"/>
    <w:rsid w:val="001A755F"/>
    <w:rsid w:val="001B7424"/>
    <w:rsid w:val="007F390F"/>
    <w:rsid w:val="00840E73"/>
    <w:rsid w:val="009A3DB4"/>
    <w:rsid w:val="00A7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B1"/>
  </w:style>
  <w:style w:type="paragraph" w:styleId="4">
    <w:name w:val="heading 4"/>
    <w:basedOn w:val="a"/>
    <w:link w:val="40"/>
    <w:uiPriority w:val="9"/>
    <w:qFormat/>
    <w:rsid w:val="001B7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7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424"/>
    <w:rPr>
      <w:color w:val="0000FF"/>
      <w:u w:val="single"/>
    </w:rPr>
  </w:style>
  <w:style w:type="paragraph" w:customStyle="1" w:styleId="s52">
    <w:name w:val="s_52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1B7424"/>
  </w:style>
  <w:style w:type="paragraph" w:styleId="HTML">
    <w:name w:val="HTML Preformatted"/>
    <w:basedOn w:val="a"/>
    <w:link w:val="HTML0"/>
    <w:uiPriority w:val="99"/>
    <w:semiHidden/>
    <w:unhideWhenUsed/>
    <w:rsid w:val="001B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74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A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DB4"/>
  </w:style>
  <w:style w:type="paragraph" w:styleId="a6">
    <w:name w:val="footer"/>
    <w:basedOn w:val="a"/>
    <w:link w:val="a7"/>
    <w:uiPriority w:val="99"/>
    <w:unhideWhenUsed/>
    <w:rsid w:val="009A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55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103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45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0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64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524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721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1712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63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482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828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13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2953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92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65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973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9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44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5632903/" TargetMode="External"/><Relationship Id="rId18" Type="http://schemas.openxmlformats.org/officeDocument/2006/relationships/hyperlink" Target="https://base.garant.ru/406315349/ce0875f3ef30e017c5cf48767441adfa/" TargetMode="External"/><Relationship Id="rId26" Type="http://schemas.openxmlformats.org/officeDocument/2006/relationships/hyperlink" Target="https://base.garant.ru/406315349/ce0875f3ef30e017c5cf48767441adfa/" TargetMode="External"/><Relationship Id="rId39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base.garant.ru/70512244/53f89421bbdaf741eb2d1ecc4ddb4c33/" TargetMode="External"/><Relationship Id="rId42" Type="http://schemas.openxmlformats.org/officeDocument/2006/relationships/hyperlink" Target="https://base.garant.ru/406315349/ce0875f3ef30e017c5cf48767441adfa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base.garant.ru/199499/53f89421bbdaf741eb2d1ecc4ddb4c33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base.garant.ru/70512244/" TargetMode="External"/><Relationship Id="rId76" Type="http://schemas.openxmlformats.org/officeDocument/2006/relationships/hyperlink" Target="https://base.garant.ru/70291362/b6e02e45ca70d110df0019b9fe339c70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ase.garant.ru/406249049/30f41223217c008d383e13af8f6245eb/" TargetMode="External"/><Relationship Id="rId71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2540422/" TargetMode="External"/><Relationship Id="rId29" Type="http://schemas.openxmlformats.org/officeDocument/2006/relationships/hyperlink" Target="https://base.garant.ru/70512244/" TargetMode="External"/><Relationship Id="rId11" Type="http://schemas.openxmlformats.org/officeDocument/2006/relationships/hyperlink" Target="https://base.garant.ru/70629422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base.garant.ru/406315349/ce0875f3ef30e017c5cf48767441adfa/" TargetMode="External"/><Relationship Id="rId37" Type="http://schemas.openxmlformats.org/officeDocument/2006/relationships/hyperlink" Target="https://base.garant.ru/70512244/" TargetMode="External"/><Relationship Id="rId40" Type="http://schemas.openxmlformats.org/officeDocument/2006/relationships/hyperlink" Target="https://base.garant.ru/406315349/ce0875f3ef30e017c5cf48767441adfa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base.garant.ru/75093644/86674d20d06c3956a601ddc16326e3a9/" TargetMode="External"/><Relationship Id="rId58" Type="http://schemas.openxmlformats.org/officeDocument/2006/relationships/hyperlink" Target="https://base.garant.ru/70512244/53f89421bbdaf741eb2d1ecc4ddb4c33/" TargetMode="External"/><Relationship Id="rId66" Type="http://schemas.openxmlformats.org/officeDocument/2006/relationships/hyperlink" Target="https://base.garant.ru/406315349/ce0875f3ef30e017c5cf48767441adfa/" TargetMode="External"/><Relationship Id="rId74" Type="http://schemas.openxmlformats.org/officeDocument/2006/relationships/hyperlink" Target="https://base.garant.ru/70291362/b6e02e45ca70d110df0019b9fe339c70/" TargetMode="External"/><Relationship Id="rId79" Type="http://schemas.openxmlformats.org/officeDocument/2006/relationships/hyperlink" Target="https://base.garant.ru/179146/1cafb24d049dcd1e7707a22d98e9858f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base.garant.ru/70512244/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base.garant.ru/406042493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base.garant.ru/406315349/ce0875f3ef30e017c5cf48767441adfa/" TargetMode="External"/><Relationship Id="rId52" Type="http://schemas.openxmlformats.org/officeDocument/2006/relationships/hyperlink" Target="https://base.garant.ru/400274954/" TargetMode="External"/><Relationship Id="rId60" Type="http://schemas.openxmlformats.org/officeDocument/2006/relationships/hyperlink" Target="https://base.garant.ru/3100000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base.garant.ru/70291362/caed1f338455c425853a4f32b00aa739/" TargetMode="External"/><Relationship Id="rId81" Type="http://schemas.openxmlformats.org/officeDocument/2006/relationships/hyperlink" Target="https://base.garant.ru/70291362/8e5cab37391b571c12c39a49736d35f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406042493/50d08e8784a63230d40865524397f847/" TargetMode="External"/><Relationship Id="rId14" Type="http://schemas.openxmlformats.org/officeDocument/2006/relationships/hyperlink" Target="https://base.garant.ru/10103000/" TargetMode="External"/><Relationship Id="rId22" Type="http://schemas.openxmlformats.org/officeDocument/2006/relationships/hyperlink" Target="https://base.garant.ru/70512244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406315349/ce0875f3ef30e017c5cf48767441adfa/" TargetMode="External"/><Relationship Id="rId35" Type="http://schemas.openxmlformats.org/officeDocument/2006/relationships/hyperlink" Target="https://base.garant.ru/406315349/ce0875f3ef30e017c5cf48767441adfa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base.garant.ru/70512244/" TargetMode="External"/><Relationship Id="rId56" Type="http://schemas.openxmlformats.org/officeDocument/2006/relationships/hyperlink" Target="https://base.garant.ru/199499/" TargetMode="External"/><Relationship Id="rId64" Type="http://schemas.openxmlformats.org/officeDocument/2006/relationships/hyperlink" Target="https://base.garant.ru/406315349/ce0875f3ef30e017c5cf48767441adfa/" TargetMode="External"/><Relationship Id="rId69" Type="http://schemas.openxmlformats.org/officeDocument/2006/relationships/hyperlink" Target="https://base.garant.ru/70512244/" TargetMode="External"/><Relationship Id="rId77" Type="http://schemas.openxmlformats.org/officeDocument/2006/relationships/hyperlink" Target="https://base.garant.ru/70291362/b6e02e45ca70d110df0019b9fe339c70/" TargetMode="External"/><Relationship Id="rId8" Type="http://schemas.openxmlformats.org/officeDocument/2006/relationships/hyperlink" Target="https://base.garant.ru/406249049/" TargetMode="External"/><Relationship Id="rId51" Type="http://schemas.openxmlformats.org/officeDocument/2006/relationships/hyperlink" Target="https://base.garant.ru/400274954/24975ac4e087d8084e1778ea7178fd42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s://base.garant.ru/70291362/9d78f2e21a0e8d6e5a75ac4e4a93983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0629422/" TargetMode="External"/><Relationship Id="rId17" Type="http://schemas.openxmlformats.org/officeDocument/2006/relationships/hyperlink" Target="https://base.garant.ru/70512244/" TargetMode="External"/><Relationship Id="rId25" Type="http://schemas.openxmlformats.org/officeDocument/2006/relationships/hyperlink" Target="https://base.garant.ru/70512244/53f89421bbdaf741eb2d1ecc4ddb4c33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base.garant.ru/406315349/ce0875f3ef30e017c5cf48767441adfa/" TargetMode="External"/><Relationship Id="rId46" Type="http://schemas.openxmlformats.org/officeDocument/2006/relationships/hyperlink" Target="https://base.garant.ru/406315349/ce0875f3ef30e017c5cf48767441adfa/" TargetMode="External"/><Relationship Id="rId59" Type="http://schemas.openxmlformats.org/officeDocument/2006/relationships/hyperlink" Target="https://base.garant.ru/3100000/" TargetMode="External"/><Relationship Id="rId67" Type="http://schemas.openxmlformats.org/officeDocument/2006/relationships/hyperlink" Target="https://ivo.garant.ru/" TargetMode="External"/><Relationship Id="rId20" Type="http://schemas.openxmlformats.org/officeDocument/2006/relationships/hyperlink" Target="https://base.garant.ru/406315349/ce0875f3ef30e017c5cf48767441adfa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base.garant.ru/75093644/" TargetMode="External"/><Relationship Id="rId62" Type="http://schemas.openxmlformats.org/officeDocument/2006/relationships/hyperlink" Target="https://base.garant.ru/406315349/ce0875f3ef30e017c5cf48767441adfa/" TargetMode="External"/><Relationship Id="rId70" Type="http://schemas.openxmlformats.org/officeDocument/2006/relationships/hyperlink" Target="https://base.garant.ru/406315349/ce0875f3ef30e017c5cf48767441adfa/" TargetMode="External"/><Relationship Id="rId75" Type="http://schemas.openxmlformats.org/officeDocument/2006/relationships/hyperlink" Target="https://base.garant.ru/70291362/b6e02e45ca70d110df0019b9fe339c70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512244/" TargetMode="External"/><Relationship Id="rId15" Type="http://schemas.openxmlformats.org/officeDocument/2006/relationships/hyperlink" Target="https://base.garant.ru/70512244/53f89421bbdaf741eb2d1ecc4ddb4c33/" TargetMode="External"/><Relationship Id="rId23" Type="http://schemas.openxmlformats.org/officeDocument/2006/relationships/hyperlink" Target="https://base.garant.ru/72173562/53f89421bbdaf741eb2d1ecc4ddb4c33/" TargetMode="External"/><Relationship Id="rId28" Type="http://schemas.openxmlformats.org/officeDocument/2006/relationships/hyperlink" Target="https://base.garant.ru/70512244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base.garant.ru/406315349/ce0875f3ef30e017c5cf48767441adfa/" TargetMode="External"/><Relationship Id="rId57" Type="http://schemas.openxmlformats.org/officeDocument/2006/relationships/hyperlink" Target="https://base.garant.ru/5517167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10097</Words>
  <Characters>57554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2023-11-09T08:41:00Z</dcterms:created>
  <dcterms:modified xsi:type="dcterms:W3CDTF">2023-11-09T08:41:00Z</dcterms:modified>
</cp:coreProperties>
</file>